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E4" w:rsidRPr="00463F4E" w:rsidRDefault="00D334E4" w:rsidP="00463F4E">
      <w:pPr>
        <w:widowControl w:val="0"/>
        <w:autoSpaceDE w:val="0"/>
        <w:autoSpaceDN w:val="0"/>
        <w:spacing w:line="0" w:lineRule="atLeast"/>
        <w:ind w:left="4962"/>
        <w:jc w:val="right"/>
        <w:outlineLvl w:val="1"/>
        <w:rPr>
          <w:rFonts w:ascii="Times New Roman" w:hAnsi="Times New Roman"/>
          <w:sz w:val="22"/>
          <w:szCs w:val="22"/>
        </w:rPr>
      </w:pPr>
      <w:r w:rsidRPr="00463F4E">
        <w:rPr>
          <w:rFonts w:ascii="Times New Roman" w:hAnsi="Times New Roman"/>
          <w:sz w:val="22"/>
          <w:szCs w:val="22"/>
        </w:rPr>
        <w:t>Приложение 3</w:t>
      </w:r>
    </w:p>
    <w:p w:rsidR="00D334E4" w:rsidRPr="00463F4E" w:rsidRDefault="00D334E4" w:rsidP="00463F4E">
      <w:pPr>
        <w:widowControl w:val="0"/>
        <w:autoSpaceDE w:val="0"/>
        <w:autoSpaceDN w:val="0"/>
        <w:spacing w:line="0" w:lineRule="atLeast"/>
        <w:ind w:left="4962"/>
        <w:jc w:val="right"/>
        <w:outlineLvl w:val="1"/>
        <w:rPr>
          <w:rFonts w:ascii="Times New Roman" w:hAnsi="Times New Roman"/>
          <w:sz w:val="22"/>
          <w:szCs w:val="22"/>
        </w:rPr>
      </w:pPr>
      <w:r w:rsidRPr="00463F4E">
        <w:rPr>
          <w:rFonts w:ascii="Times New Roman" w:hAnsi="Times New Roman"/>
          <w:sz w:val="22"/>
          <w:szCs w:val="22"/>
        </w:rPr>
        <w:t xml:space="preserve">к Порядку оценки </w:t>
      </w:r>
    </w:p>
    <w:p w:rsidR="00D334E4" w:rsidRPr="00463F4E" w:rsidRDefault="00D334E4" w:rsidP="00463F4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334E4" w:rsidRPr="00EC64FE" w:rsidRDefault="00D334E4" w:rsidP="00463F4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C64FE">
        <w:rPr>
          <w:rFonts w:ascii="Times New Roman" w:hAnsi="Times New Roman" w:cs="Times New Roman"/>
          <w:sz w:val="22"/>
          <w:szCs w:val="22"/>
        </w:rPr>
        <w:t>Заключение об оценке эффективности предлагаемого</w:t>
      </w:r>
    </w:p>
    <w:p w:rsidR="00D334E4" w:rsidRPr="00463F4E" w:rsidRDefault="00D334E4" w:rsidP="00463F4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C64FE">
        <w:rPr>
          <w:rFonts w:ascii="Times New Roman" w:hAnsi="Times New Roman" w:cs="Times New Roman"/>
          <w:sz w:val="22"/>
          <w:szCs w:val="22"/>
        </w:rPr>
        <w:t>к введению налогового расхода</w:t>
      </w:r>
      <w:r w:rsidRPr="00463F4E">
        <w:rPr>
          <w:rFonts w:ascii="Times New Roman" w:hAnsi="Times New Roman" w:cs="Times New Roman"/>
          <w:sz w:val="22"/>
          <w:szCs w:val="22"/>
        </w:rPr>
        <w:t xml:space="preserve"> муниципального образования</w:t>
      </w:r>
    </w:p>
    <w:p w:rsidR="00D334E4" w:rsidRPr="00463F4E" w:rsidRDefault="00635B55" w:rsidP="00463F4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городское поселение </w:t>
      </w:r>
      <w:r w:rsidR="005B2325">
        <w:rPr>
          <w:rFonts w:ascii="Times New Roman" w:hAnsi="Times New Roman" w:cs="Times New Roman"/>
          <w:sz w:val="22"/>
          <w:szCs w:val="22"/>
        </w:rPr>
        <w:t>Луговой</w:t>
      </w:r>
    </w:p>
    <w:p w:rsidR="00D334E4" w:rsidRPr="00463F4E" w:rsidRDefault="00D334E4" w:rsidP="00463F4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9631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213"/>
        <w:gridCol w:w="3824"/>
      </w:tblGrid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1D1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334E4" w:rsidRPr="00463F4E" w:rsidRDefault="00D334E4" w:rsidP="001D1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1D1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1D1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Инициатор предлагаемой к введению налоговой льготы (иной преференции по налогам)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1D1A4E" w:rsidP="00585DD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образование городское поселение </w:t>
            </w:r>
            <w:r w:rsidR="00585DD9">
              <w:rPr>
                <w:rFonts w:ascii="Times New Roman" w:hAnsi="Times New Roman" w:cs="Times New Roman"/>
                <w:sz w:val="22"/>
                <w:szCs w:val="22"/>
              </w:rPr>
              <w:t>Луговой</w:t>
            </w:r>
            <w:bookmarkStart w:id="0" w:name="_GoBack"/>
            <w:bookmarkEnd w:id="0"/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Наименование налога, по которому предлагается установить налоговую льготу (иную преференцию по налогам)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1D1A4E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налог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Вид и размер предлагаемой к установлению налоговой льготы (иную преференцию по налогам)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EC64FE" w:rsidRDefault="00D173E6" w:rsidP="0081131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B7B1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Освобождаются в размере 100%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Категории плательщиков налогов, для которых планируется предусмотреть налоговую льготу (иную преференцию по налогам)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D173E6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1131A">
              <w:rPr>
                <w:rFonts w:ascii="Times New Roman" w:hAnsi="Times New Roman" w:cs="Times New Roman"/>
                <w:sz w:val="22"/>
                <w:szCs w:val="24"/>
              </w:rPr>
              <w:t>Организации – в отношении земельных участков, занятых объектами благоустройства в городских и сельских поселениях, памятниками, скверами, парками, бульварами, площадями, улицами, переулками, проездами, набережными, гражданскими захоронениями и полигонами по утилизации технических и бытовых отходов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Планируемое количество потенциальных налогоплательщиков, которые будут пользоваться налоговыми льготами (иными, преференциями), предлагаемыми к введению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555F8D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Срок, на который предполагается установить налоговую льготу (иную преференцию по налогам)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555F8D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Механизм предоставления налоговой льготы (иных преференций), подтверждения права на его применение, особенности будущего администрирования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B7B16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Предложения об источниках информации и установлению индикаторов, на основе которых будет производится мониторинг и оценка критериев эффективности предлагаемого  к введению налогового расхода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B7B16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 xml:space="preserve">9. 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38344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 xml:space="preserve">Планируемый объем налоговых расходов бюджета муниципального образования </w:t>
            </w:r>
            <w:r w:rsidR="0038344D">
              <w:rPr>
                <w:rFonts w:ascii="Times New Roman" w:hAnsi="Times New Roman" w:cs="Times New Roman"/>
                <w:sz w:val="22"/>
                <w:szCs w:val="22"/>
              </w:rPr>
              <w:t>городское поселение Кондинское</w:t>
            </w: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 xml:space="preserve"> в связи с введением налоговой льготы (иной преференции по налогам) (объем выпадающих доходов бюджета муниципального образования </w:t>
            </w:r>
            <w:r w:rsidR="0038344D">
              <w:rPr>
                <w:rFonts w:ascii="Times New Roman" w:hAnsi="Times New Roman" w:cs="Times New Roman"/>
                <w:sz w:val="22"/>
                <w:szCs w:val="22"/>
              </w:rPr>
              <w:t>городское поселение Кондинское</w:t>
            </w: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 xml:space="preserve"> в год)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8344D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Предложения о возможном источнике компенсации выпадающих доходов бюджета муниципального образования Кондинский район 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B7B16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Перечень муниципальных правовых актов, в которые необходимо внести изменения в связи  с введением налогового расхода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8344D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 xml:space="preserve">12. 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и (или) цели социально-экономической политики, не относящейся к муниципальным программам, для реализации которой предлагается введение </w:t>
            </w:r>
            <w:r w:rsidRPr="00463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налогового расхода 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8344D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E0811">
              <w:rPr>
                <w:rFonts w:ascii="Times New Roman" w:eastAsia="Times New Roman" w:hAnsi="Times New Roman"/>
              </w:rPr>
              <w:lastRenderedPageBreak/>
              <w:t xml:space="preserve">«Формирование комфортной городской среды в Кондинском районе на 2018-2024 годы» (утв. Постановлением администрации Кондинского района от </w:t>
            </w:r>
            <w:r w:rsidRPr="001E0811">
              <w:rPr>
                <w:rFonts w:ascii="Times New Roman" w:eastAsia="Times New Roman" w:hAnsi="Times New Roman"/>
              </w:rPr>
              <w:lastRenderedPageBreak/>
              <w:t>28.12.2017г. № 2241)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Наименование целей муниципальной программы и (или) цели социально-экономической политики, не относящейся к муниципальным программам, для реализации которой предлагается введение налогового расхода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8344D" w:rsidP="00E30B2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E0811">
              <w:rPr>
                <w:rFonts w:ascii="Times New Roman" w:hAnsi="Times New Roman"/>
              </w:rPr>
              <w:t xml:space="preserve">Повышение качества и комфорта городской среды на территории городского поселения </w:t>
            </w:r>
            <w:r w:rsidR="00E30B27">
              <w:rPr>
                <w:rFonts w:ascii="Times New Roman" w:hAnsi="Times New Roman"/>
              </w:rPr>
              <w:t>Луговой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достижения целей муниципальной программы и (или) цели социально-экономической политики, не относящейся к муниципальным программам, на значение которого окажет влияние, предлагаемый к введению налоговый расход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8344D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5A2">
              <w:rPr>
                <w:rFonts w:ascii="Times New Roman" w:hAnsi="Times New Roman"/>
              </w:rPr>
              <w:t>Количество благоустроенных территорий общего пользования Кондинского района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Оценка вклада предлагаемого к введению налогового расхода в изменение значения показателя (индикатора) достижения целей муниципальной программы и (или) цели социально-экономической политики, не относящейся к муниципальным программам (разница между фактическим значением показателя и оценкой значения показателя (без учета налогового расхода) &lt;*&gt;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38344D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134D8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достижения цели муниципальной программы,  которой соответствует налоговый расход городского поселения Кондинское не определен. За показатель (индикатор) можно определить  общий показатель муниципальной программы – «Количество благоустроенных территорий общего пользования Кондинского района»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Альтернативные механизмы достижения целей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463F4E" w:rsidRDefault="00541B3F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 xml:space="preserve">17. 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Вывод о наличии/отсутствии более результативных (менее затратных) для бюджета муниципального образования Кондинский район альтернативных механизмов достижения целей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3B7B16" w:rsidRDefault="0011211C" w:rsidP="0011211C">
            <w:pPr>
              <w:pStyle w:val="Default"/>
              <w:rPr>
                <w:sz w:val="22"/>
              </w:rPr>
            </w:pPr>
            <w:r w:rsidRPr="0011211C">
              <w:rPr>
                <w:sz w:val="22"/>
                <w:szCs w:val="22"/>
              </w:rPr>
              <w:t>Альтернативные механизмы достижения целей муниципальной программы отсутствуют</w:t>
            </w:r>
            <w:r w:rsidRPr="003B7B16">
              <w:rPr>
                <w:sz w:val="22"/>
              </w:rPr>
              <w:t xml:space="preserve"> 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Оценка бюджетной эффективности предлагаемого к введению налогового расхода&lt;*&gt;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3B7B16" w:rsidRDefault="003B7B16" w:rsidP="003B7B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B7B16">
              <w:rPr>
                <w:rFonts w:ascii="Times New Roman" w:hAnsi="Times New Roman" w:cs="Times New Roman"/>
                <w:sz w:val="22"/>
                <w:szCs w:val="24"/>
              </w:rPr>
              <w:t>Сохранение в 2021 году данных льгот нецелесообразно 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vertAlign w:val="superscript"/>
              </w:rPr>
            </w:pPr>
            <w:r w:rsidRPr="00463F4E">
              <w:rPr>
                <w:rFonts w:ascii="Times New Roman" w:eastAsia="Calibri" w:hAnsi="Times New Roman"/>
                <w:sz w:val="22"/>
                <w:szCs w:val="22"/>
              </w:rPr>
              <w:t>Результаты сравнительного анализа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политики, не относящихся к муниципальным программам&lt;*&gt;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E4" w:rsidRPr="00BE4CD1" w:rsidRDefault="00BE4CD1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E4CD1">
              <w:rPr>
                <w:rFonts w:ascii="Times New Roman" w:hAnsi="Times New Roman" w:cs="Times New Roman"/>
                <w:sz w:val="22"/>
                <w:szCs w:val="22"/>
              </w:rPr>
              <w:t>Востребованность налогового расхода за отчетный период нулевая (показатель результативности не отражается), в виду отсутствия налогоплательщиков данной категории</w:t>
            </w:r>
          </w:p>
        </w:tc>
      </w:tr>
      <w:tr w:rsidR="00D334E4" w:rsidRPr="00463F4E" w:rsidTr="0081131A">
        <w:trPr>
          <w:trHeight w:val="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E4" w:rsidRPr="00463F4E" w:rsidRDefault="00D334E4" w:rsidP="00463F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63F4E">
              <w:rPr>
                <w:rFonts w:ascii="Times New Roman" w:hAnsi="Times New Roman" w:cs="Times New Roman"/>
                <w:sz w:val="22"/>
                <w:szCs w:val="22"/>
              </w:rPr>
              <w:t>Выводы и предложения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87" w:rsidRDefault="003B7B16" w:rsidP="003B7B16">
            <w:pPr>
              <w:pStyle w:val="ConsPlusNonformat"/>
              <w:rPr>
                <w:rFonts w:ascii="Times New Roman" w:hAnsi="Times New Roman" w:cs="Times New Roman"/>
                <w:sz w:val="22"/>
              </w:rPr>
            </w:pPr>
            <w:r w:rsidRPr="003B7B16">
              <w:rPr>
                <w:rFonts w:ascii="Times New Roman" w:hAnsi="Times New Roman" w:cs="Times New Roman"/>
                <w:sz w:val="22"/>
              </w:rPr>
              <w:t xml:space="preserve">Предоставленные налоговые расходы являются невостребованными и нерезультативными. </w:t>
            </w:r>
          </w:p>
          <w:p w:rsidR="00D334E4" w:rsidRPr="003B7B16" w:rsidRDefault="00307187" w:rsidP="003B7B1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26264">
              <w:rPr>
                <w:rFonts w:ascii="Times New Roman" w:hAnsi="Times New Roman"/>
                <w:sz w:val="22"/>
              </w:rPr>
              <w:t>Определить эффективность или неэффективность невозможно</w:t>
            </w:r>
          </w:p>
        </w:tc>
      </w:tr>
    </w:tbl>
    <w:p w:rsidR="00D334E4" w:rsidRPr="00463F4E" w:rsidRDefault="00D334E4" w:rsidP="00463F4E">
      <w:pPr>
        <w:pStyle w:val="1"/>
        <w:autoSpaceDE w:val="0"/>
        <w:autoSpaceDN w:val="0"/>
        <w:adjustRightInd w:val="0"/>
        <w:ind w:firstLine="709"/>
        <w:jc w:val="left"/>
        <w:rPr>
          <w:rFonts w:ascii="Times New Roman" w:hAnsi="Times New Roman"/>
          <w:b w:val="0"/>
          <w:sz w:val="22"/>
          <w:szCs w:val="22"/>
          <w:lang w:val="ru-RU"/>
        </w:rPr>
      </w:pPr>
      <w:r w:rsidRPr="00463F4E">
        <w:rPr>
          <w:rFonts w:ascii="Times New Roman" w:hAnsi="Times New Roman"/>
          <w:b w:val="0"/>
          <w:bCs w:val="0"/>
          <w:sz w:val="22"/>
          <w:szCs w:val="22"/>
        </w:rPr>
        <w:t>&lt;*&gt; По данным показателям прилагаются расчеты</w:t>
      </w:r>
    </w:p>
    <w:p w:rsidR="00D334E4" w:rsidRPr="00463F4E" w:rsidRDefault="00D334E4" w:rsidP="00463F4E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</w:p>
    <w:p w:rsidR="00D334E4" w:rsidRPr="00463F4E" w:rsidRDefault="00D334E4" w:rsidP="00463F4E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463F4E">
        <w:rPr>
          <w:rFonts w:ascii="Times New Roman" w:hAnsi="Times New Roman" w:cs="Times New Roman"/>
          <w:sz w:val="22"/>
          <w:szCs w:val="22"/>
        </w:rPr>
        <w:t>Приложение: расчеты к заключению об оценке эффективности предлагаемого к введению налогового расхода на ___</w:t>
      </w:r>
      <w:r w:rsidR="004C737C">
        <w:rPr>
          <w:rFonts w:ascii="Times New Roman" w:hAnsi="Times New Roman" w:cs="Times New Roman"/>
          <w:sz w:val="22"/>
          <w:szCs w:val="22"/>
        </w:rPr>
        <w:t>-</w:t>
      </w:r>
      <w:r w:rsidRPr="00463F4E">
        <w:rPr>
          <w:rFonts w:ascii="Times New Roman" w:hAnsi="Times New Roman" w:cs="Times New Roman"/>
          <w:sz w:val="22"/>
          <w:szCs w:val="22"/>
        </w:rPr>
        <w:t>__ листах.</w:t>
      </w:r>
    </w:p>
    <w:p w:rsidR="00D334E4" w:rsidRPr="00463F4E" w:rsidRDefault="00D334E4" w:rsidP="00463F4E">
      <w:pPr>
        <w:tabs>
          <w:tab w:val="left" w:pos="4673"/>
          <w:tab w:val="left" w:pos="6542"/>
        </w:tabs>
        <w:jc w:val="left"/>
        <w:rPr>
          <w:rFonts w:ascii="Times New Roman" w:hAnsi="Times New Roman"/>
          <w:sz w:val="22"/>
          <w:szCs w:val="22"/>
        </w:rPr>
      </w:pPr>
    </w:p>
    <w:p w:rsidR="00D835C9" w:rsidRPr="00463F4E" w:rsidRDefault="00E30B27" w:rsidP="00463F4E">
      <w:pPr>
        <w:jc w:val="left"/>
        <w:rPr>
          <w:rFonts w:ascii="Times New Roman" w:hAnsi="Times New Roman"/>
          <w:sz w:val="22"/>
          <w:szCs w:val="22"/>
        </w:rPr>
      </w:pPr>
    </w:p>
    <w:sectPr w:rsidR="00D835C9" w:rsidRPr="00463F4E" w:rsidSect="00A55E29">
      <w:pgSz w:w="11909" w:h="16834"/>
      <w:pgMar w:top="1134" w:right="567" w:bottom="851" w:left="1701" w:header="567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947F72"/>
    <w:rsid w:val="00067131"/>
    <w:rsid w:val="0011211C"/>
    <w:rsid w:val="0014786F"/>
    <w:rsid w:val="001D1A4E"/>
    <w:rsid w:val="00307187"/>
    <w:rsid w:val="0038344D"/>
    <w:rsid w:val="003B7B16"/>
    <w:rsid w:val="00463F4E"/>
    <w:rsid w:val="00464DEC"/>
    <w:rsid w:val="004C737C"/>
    <w:rsid w:val="00541B3F"/>
    <w:rsid w:val="00555F8D"/>
    <w:rsid w:val="00585DD9"/>
    <w:rsid w:val="005B2325"/>
    <w:rsid w:val="005C0FDC"/>
    <w:rsid w:val="005E419A"/>
    <w:rsid w:val="00635B55"/>
    <w:rsid w:val="0081131A"/>
    <w:rsid w:val="00947F72"/>
    <w:rsid w:val="00973357"/>
    <w:rsid w:val="009D1453"/>
    <w:rsid w:val="00BE4CD1"/>
    <w:rsid w:val="00C13BB3"/>
    <w:rsid w:val="00C92AF3"/>
    <w:rsid w:val="00D173E6"/>
    <w:rsid w:val="00D334E4"/>
    <w:rsid w:val="00E30B27"/>
    <w:rsid w:val="00EC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334E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Раздел"/>
    <w:basedOn w:val="a"/>
    <w:next w:val="a"/>
    <w:link w:val="10"/>
    <w:qFormat/>
    <w:rsid w:val="00D334E4"/>
    <w:pPr>
      <w:jc w:val="center"/>
      <w:outlineLvl w:val="0"/>
    </w:pPr>
    <w:rPr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Раздел Знак"/>
    <w:basedOn w:val="a0"/>
    <w:link w:val="1"/>
    <w:rsid w:val="00D334E4"/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paragraph" w:customStyle="1" w:styleId="ConsPlusNonformat">
    <w:name w:val="ConsPlusNonformat"/>
    <w:rsid w:val="00D334E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rsid w:val="003B7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334E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Раздел"/>
    <w:basedOn w:val="a"/>
    <w:next w:val="a"/>
    <w:link w:val="10"/>
    <w:qFormat/>
    <w:rsid w:val="00D334E4"/>
    <w:pPr>
      <w:jc w:val="center"/>
      <w:outlineLvl w:val="0"/>
    </w:pPr>
    <w:rPr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Раздел Знак"/>
    <w:basedOn w:val="a0"/>
    <w:link w:val="1"/>
    <w:rsid w:val="00D334E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customStyle="1" w:styleId="ConsPlusNonformat">
    <w:name w:val="ConsPlusNonformat"/>
    <w:rsid w:val="00D334E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rsid w:val="003B7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Беккер Андрей Андреевич</dc:creator>
  <cp:lastModifiedBy>Elena</cp:lastModifiedBy>
  <cp:revision>5</cp:revision>
  <dcterms:created xsi:type="dcterms:W3CDTF">2021-08-23T05:24:00Z</dcterms:created>
  <dcterms:modified xsi:type="dcterms:W3CDTF">2021-09-27T04:29:00Z</dcterms:modified>
</cp:coreProperties>
</file>